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39D" w:rsidRDefault="0036339D" w:rsidP="0036339D">
      <w:pPr>
        <w:widowControl w:val="0"/>
        <w:autoSpaceDE w:val="0"/>
        <w:autoSpaceDN w:val="0"/>
        <w:adjustRightInd w:val="0"/>
        <w:spacing w:line="96" w:lineRule="atLeast"/>
        <w:jc w:val="both"/>
        <w:rPr>
          <w:sz w:val="10"/>
          <w:szCs w:val="10"/>
        </w:rPr>
      </w:pPr>
    </w:p>
    <w:p w:rsidR="0036339D" w:rsidRPr="0036339D" w:rsidRDefault="0036339D" w:rsidP="0036339D">
      <w:pPr>
        <w:widowControl w:val="0"/>
        <w:autoSpaceDE w:val="0"/>
        <w:autoSpaceDN w:val="0"/>
        <w:adjustRightInd w:val="0"/>
        <w:spacing w:line="96" w:lineRule="atLeast"/>
        <w:jc w:val="both"/>
        <w:rPr>
          <w:sz w:val="10"/>
          <w:szCs w:val="10"/>
        </w:rPr>
      </w:pPr>
    </w:p>
    <w:p w:rsidR="007F0171" w:rsidRDefault="007F0171" w:rsidP="007F0171">
      <w:pPr>
        <w:widowControl w:val="0"/>
        <w:autoSpaceDE w:val="0"/>
        <w:autoSpaceDN w:val="0"/>
        <w:adjustRightInd w:val="0"/>
        <w:spacing w:line="249" w:lineRule="atLeast"/>
        <w:jc w:val="center"/>
        <w:rPr>
          <w:b/>
          <w:bCs/>
        </w:rPr>
      </w:pPr>
      <w:r>
        <w:rPr>
          <w:b/>
          <w:bCs/>
        </w:rPr>
        <w:t>Town</w:t>
      </w:r>
      <w:r w:rsidR="00225C17">
        <w:rPr>
          <w:b/>
          <w:bCs/>
        </w:rPr>
        <w:t xml:space="preserve">/City </w:t>
      </w:r>
      <w:r>
        <w:rPr>
          <w:b/>
          <w:bCs/>
        </w:rPr>
        <w:t xml:space="preserve">of </w:t>
      </w:r>
      <w:r w:rsidR="00225C17">
        <w:rPr>
          <w:b/>
          <w:bCs/>
        </w:rPr>
        <w:t>________</w:t>
      </w:r>
      <w:r>
        <w:rPr>
          <w:b/>
          <w:bCs/>
        </w:rPr>
        <w:t>, Maine</w:t>
      </w:r>
    </w:p>
    <w:p w:rsidR="007F0171" w:rsidRDefault="007F0171" w:rsidP="007F0171">
      <w:pPr>
        <w:widowControl w:val="0"/>
        <w:autoSpaceDE w:val="0"/>
        <w:autoSpaceDN w:val="0"/>
        <w:adjustRightInd w:val="0"/>
        <w:spacing w:line="249" w:lineRule="atLeast"/>
        <w:jc w:val="center"/>
        <w:rPr>
          <w:b/>
          <w:bCs/>
        </w:rPr>
      </w:pPr>
      <w:r>
        <w:rPr>
          <w:b/>
          <w:bCs/>
        </w:rPr>
        <w:t>and the</w:t>
      </w:r>
    </w:p>
    <w:p w:rsidR="007F0171" w:rsidRDefault="00225C17" w:rsidP="007F0171">
      <w:pPr>
        <w:widowControl w:val="0"/>
        <w:autoSpaceDE w:val="0"/>
        <w:autoSpaceDN w:val="0"/>
        <w:adjustRightInd w:val="0"/>
        <w:spacing w:line="249" w:lineRule="atLeast"/>
        <w:jc w:val="center"/>
        <w:rPr>
          <w:b/>
          <w:bCs/>
        </w:rPr>
      </w:pPr>
      <w:r>
        <w:rPr>
          <w:b/>
          <w:bCs/>
        </w:rPr>
        <w:t>IAFF Local Name &amp; Number</w:t>
      </w:r>
    </w:p>
    <w:p w:rsidR="007F0171" w:rsidRDefault="007F0171" w:rsidP="0036339D">
      <w:pPr>
        <w:widowControl w:val="0"/>
        <w:autoSpaceDE w:val="0"/>
        <w:autoSpaceDN w:val="0"/>
        <w:adjustRightInd w:val="0"/>
        <w:spacing w:line="249" w:lineRule="atLeast"/>
        <w:rPr>
          <w:b/>
          <w:bCs/>
        </w:rPr>
      </w:pPr>
    </w:p>
    <w:p w:rsidR="00A94FE6" w:rsidRDefault="0036339D" w:rsidP="007F0171">
      <w:pPr>
        <w:widowControl w:val="0"/>
        <w:autoSpaceDE w:val="0"/>
        <w:autoSpaceDN w:val="0"/>
        <w:adjustRightInd w:val="0"/>
        <w:spacing w:line="249" w:lineRule="atLeast"/>
        <w:jc w:val="center"/>
        <w:rPr>
          <w:b/>
          <w:bCs/>
        </w:rPr>
      </w:pPr>
      <w:r>
        <w:rPr>
          <w:b/>
          <w:bCs/>
        </w:rPr>
        <w:t xml:space="preserve">Ground Rules for Negotiating </w:t>
      </w:r>
      <w:r w:rsidR="007F0171">
        <w:rPr>
          <w:b/>
          <w:bCs/>
        </w:rPr>
        <w:t>a Collective Bargaining Agreement</w:t>
      </w:r>
    </w:p>
    <w:p w:rsidR="0036339D" w:rsidRDefault="0036339D" w:rsidP="0036339D">
      <w:pPr>
        <w:widowControl w:val="0"/>
        <w:autoSpaceDE w:val="0"/>
        <w:autoSpaceDN w:val="0"/>
        <w:adjustRightInd w:val="0"/>
        <w:spacing w:line="249" w:lineRule="atLeast"/>
      </w:pPr>
    </w:p>
    <w:p w:rsidR="0036339D" w:rsidRDefault="00A94FE6" w:rsidP="0036339D">
      <w:pPr>
        <w:pStyle w:val="ListParagraph"/>
        <w:widowControl w:val="0"/>
        <w:numPr>
          <w:ilvl w:val="0"/>
          <w:numId w:val="4"/>
        </w:numPr>
        <w:autoSpaceDE w:val="0"/>
        <w:autoSpaceDN w:val="0"/>
        <w:adjustRightInd w:val="0"/>
        <w:spacing w:line="268" w:lineRule="atLeast"/>
        <w:jc w:val="both"/>
      </w:pPr>
      <w:r>
        <w:t>Negotiations will be conducted in executive sessio</w:t>
      </w:r>
      <w:r w:rsidR="0036339D">
        <w:t xml:space="preserve">n. There shall be no unilateral </w:t>
      </w:r>
      <w:r>
        <w:t>press releases concerning the subject matter of negotiations without forty-eight hours prior written notice to the other party except as provided in 26 MRSA, Chapter 9-A, § 965(3) (C).</w:t>
      </w:r>
    </w:p>
    <w:p w:rsidR="0036339D" w:rsidRDefault="0036339D" w:rsidP="0036339D">
      <w:pPr>
        <w:pStyle w:val="ListParagraph"/>
        <w:widowControl w:val="0"/>
        <w:autoSpaceDE w:val="0"/>
        <w:autoSpaceDN w:val="0"/>
        <w:adjustRightInd w:val="0"/>
        <w:spacing w:line="268" w:lineRule="atLeast"/>
        <w:jc w:val="both"/>
      </w:pPr>
    </w:p>
    <w:p w:rsidR="0036339D" w:rsidRDefault="00A94FE6" w:rsidP="0036339D">
      <w:pPr>
        <w:pStyle w:val="ListParagraph"/>
        <w:widowControl w:val="0"/>
        <w:numPr>
          <w:ilvl w:val="0"/>
          <w:numId w:val="4"/>
        </w:numPr>
        <w:autoSpaceDE w:val="0"/>
        <w:autoSpaceDN w:val="0"/>
        <w:adjustRightInd w:val="0"/>
        <w:spacing w:line="268" w:lineRule="atLeast"/>
        <w:jc w:val="both"/>
      </w:pPr>
      <w:r>
        <w:t xml:space="preserve">The signing of these rules attests that: The negotiators have the guidelines and </w:t>
      </w:r>
      <w:r w:rsidR="003758A2">
        <w:t xml:space="preserve">the full </w:t>
      </w:r>
      <w:r>
        <w:t>authority to reach a final tentative agreement and that the principal parties reserve the right to ratify the total package reached at the bargaining table.</w:t>
      </w:r>
    </w:p>
    <w:p w:rsidR="0036339D" w:rsidRDefault="0036339D" w:rsidP="0036339D">
      <w:pPr>
        <w:pStyle w:val="ListParagraph"/>
        <w:jc w:val="both"/>
      </w:pPr>
    </w:p>
    <w:p w:rsidR="0036339D" w:rsidRDefault="00A94FE6" w:rsidP="0036339D">
      <w:pPr>
        <w:pStyle w:val="ListParagraph"/>
        <w:widowControl w:val="0"/>
        <w:numPr>
          <w:ilvl w:val="0"/>
          <w:numId w:val="4"/>
        </w:numPr>
        <w:autoSpaceDE w:val="0"/>
        <w:autoSpaceDN w:val="0"/>
        <w:adjustRightInd w:val="0"/>
        <w:spacing w:line="268" w:lineRule="atLeast"/>
        <w:jc w:val="both"/>
      </w:pPr>
      <w:r>
        <w:t>Negotiating sessions will be scheduled at mutually convenient times and locations with each of the parties reserving the right to request meetings pursuant to §965 (1) (B).</w:t>
      </w:r>
    </w:p>
    <w:p w:rsidR="0036339D" w:rsidRDefault="0036339D" w:rsidP="0036339D">
      <w:pPr>
        <w:pStyle w:val="ListParagraph"/>
        <w:jc w:val="both"/>
      </w:pPr>
    </w:p>
    <w:p w:rsidR="0036339D" w:rsidRDefault="008369D8" w:rsidP="0036339D">
      <w:pPr>
        <w:pStyle w:val="ListParagraph"/>
        <w:widowControl w:val="0"/>
        <w:numPr>
          <w:ilvl w:val="0"/>
          <w:numId w:val="4"/>
        </w:numPr>
        <w:autoSpaceDE w:val="0"/>
        <w:autoSpaceDN w:val="0"/>
        <w:adjustRightInd w:val="0"/>
        <w:spacing w:line="268" w:lineRule="atLeast"/>
        <w:jc w:val="both"/>
      </w:pPr>
      <w:r>
        <w:t>All proposals will be on the table by the conclusion of the</w:t>
      </w:r>
      <w:r w:rsidR="004C652B">
        <w:t xml:space="preserve"> </w:t>
      </w:r>
      <w:r w:rsidR="003758A2">
        <w:t>f</w:t>
      </w:r>
      <w:r w:rsidR="007F0171">
        <w:t>ifth [5</w:t>
      </w:r>
      <w:r w:rsidR="007F0171" w:rsidRPr="007F0171">
        <w:rPr>
          <w:vertAlign w:val="superscript"/>
        </w:rPr>
        <w:t>th</w:t>
      </w:r>
      <w:r w:rsidR="007F0171">
        <w:t xml:space="preserve">] </w:t>
      </w:r>
      <w:r>
        <w:t>meeting. Proposals shall be in</w:t>
      </w:r>
      <w:r w:rsidR="00A94FE6">
        <w:t xml:space="preserve"> both</w:t>
      </w:r>
      <w:r>
        <w:t xml:space="preserve"> hard copy and electronic format.</w:t>
      </w:r>
      <w:r w:rsidR="0036339D">
        <w:t xml:space="preserve"> This section does not preclude the parties from offering counter-proposals as necessary</w:t>
      </w:r>
      <w:r w:rsidR="007F0171">
        <w:t xml:space="preserve"> throughout their negotiations</w:t>
      </w:r>
      <w:r w:rsidR="0036339D">
        <w:t>.</w:t>
      </w:r>
    </w:p>
    <w:p w:rsidR="0036339D" w:rsidRDefault="0036339D" w:rsidP="0036339D">
      <w:pPr>
        <w:pStyle w:val="ListParagraph"/>
        <w:jc w:val="both"/>
      </w:pPr>
    </w:p>
    <w:p w:rsidR="0036339D" w:rsidRDefault="00A94FE6" w:rsidP="0036339D">
      <w:pPr>
        <w:pStyle w:val="ListParagraph"/>
        <w:widowControl w:val="0"/>
        <w:numPr>
          <w:ilvl w:val="0"/>
          <w:numId w:val="4"/>
        </w:numPr>
        <w:autoSpaceDE w:val="0"/>
        <w:autoSpaceDN w:val="0"/>
        <w:adjustRightInd w:val="0"/>
        <w:spacing w:line="268" w:lineRule="atLeast"/>
        <w:jc w:val="both"/>
      </w:pPr>
      <w:r>
        <w:t>Tentative agreements wi</w:t>
      </w:r>
      <w:r w:rsidR="00131B0F">
        <w:t>ll</w:t>
      </w:r>
      <w:r>
        <w:t xml:space="preserve"> be contingent upon agreement on the total package. Items tentatively agreed upon will be reduced to writing, initialed and dated by the chief negotiator for each party.</w:t>
      </w:r>
    </w:p>
    <w:p w:rsidR="0036339D" w:rsidRDefault="0036339D" w:rsidP="0036339D">
      <w:pPr>
        <w:pStyle w:val="ListParagraph"/>
        <w:jc w:val="both"/>
      </w:pPr>
    </w:p>
    <w:p w:rsidR="0036339D" w:rsidRDefault="00A94FE6" w:rsidP="0036339D">
      <w:pPr>
        <w:pStyle w:val="ListParagraph"/>
        <w:widowControl w:val="0"/>
        <w:numPr>
          <w:ilvl w:val="0"/>
          <w:numId w:val="4"/>
        </w:numPr>
        <w:autoSpaceDE w:val="0"/>
        <w:autoSpaceDN w:val="0"/>
        <w:adjustRightInd w:val="0"/>
        <w:spacing w:line="268" w:lineRule="atLeast"/>
        <w:jc w:val="both"/>
      </w:pPr>
      <w:r>
        <w:t>If a total package is agreed to at the table, the negotiating teams agree to recommend and advocate ratification of the total package to their respective principals.</w:t>
      </w:r>
    </w:p>
    <w:p w:rsidR="0036339D" w:rsidRDefault="0036339D" w:rsidP="0036339D">
      <w:pPr>
        <w:pStyle w:val="ListParagraph"/>
        <w:jc w:val="both"/>
      </w:pPr>
    </w:p>
    <w:p w:rsidR="0036339D" w:rsidRDefault="00A94FE6" w:rsidP="0036339D">
      <w:pPr>
        <w:pStyle w:val="ListParagraph"/>
        <w:widowControl w:val="0"/>
        <w:numPr>
          <w:ilvl w:val="0"/>
          <w:numId w:val="4"/>
        </w:numPr>
        <w:autoSpaceDE w:val="0"/>
        <w:autoSpaceDN w:val="0"/>
        <w:adjustRightInd w:val="0"/>
        <w:spacing w:line="268" w:lineRule="atLeast"/>
        <w:jc w:val="both"/>
      </w:pPr>
      <w:r>
        <w:t>If either party's principals reject a total package, each party retains the right to open previous tentative agreements in order to reestablish a balance of interests, subject to the obligation to bargain in good faith.</w:t>
      </w:r>
    </w:p>
    <w:p w:rsidR="0036339D" w:rsidRDefault="0036339D" w:rsidP="0036339D">
      <w:pPr>
        <w:pStyle w:val="ListParagraph"/>
        <w:jc w:val="both"/>
      </w:pPr>
    </w:p>
    <w:p w:rsidR="007F0171" w:rsidRDefault="007F0171" w:rsidP="0036339D">
      <w:pPr>
        <w:pStyle w:val="ListParagraph"/>
        <w:widowControl w:val="0"/>
        <w:numPr>
          <w:ilvl w:val="0"/>
          <w:numId w:val="4"/>
        </w:numPr>
        <w:autoSpaceDE w:val="0"/>
        <w:autoSpaceDN w:val="0"/>
        <w:adjustRightInd w:val="0"/>
        <w:spacing w:line="268" w:lineRule="atLeast"/>
        <w:jc w:val="both"/>
      </w:pPr>
      <w:r>
        <w:t>The parties agree, that the current personnel policies, practices and matters affecting the working conditions of bargaining unit employees will remain in effect and unchanged unless mutually agreed to by the parties and a new collective bargaining agreement has been executed by the parties.</w:t>
      </w:r>
    </w:p>
    <w:p w:rsidR="007F0171" w:rsidRDefault="007F0171" w:rsidP="007F0171">
      <w:pPr>
        <w:pStyle w:val="ListParagraph"/>
      </w:pPr>
    </w:p>
    <w:p w:rsidR="007F0171" w:rsidRDefault="007F0171" w:rsidP="007F0171">
      <w:pPr>
        <w:pStyle w:val="ListParagraph"/>
      </w:pPr>
    </w:p>
    <w:p w:rsidR="00A94FE6" w:rsidRDefault="00A94FE6" w:rsidP="0036339D">
      <w:pPr>
        <w:widowControl w:val="0"/>
        <w:tabs>
          <w:tab w:val="num" w:pos="360"/>
        </w:tabs>
        <w:autoSpaceDE w:val="0"/>
        <w:autoSpaceDN w:val="0"/>
        <w:adjustRightInd w:val="0"/>
        <w:spacing w:line="273" w:lineRule="atLeast"/>
        <w:ind w:hanging="1800"/>
        <w:jc w:val="both"/>
      </w:pPr>
    </w:p>
    <w:p w:rsidR="004C652B" w:rsidRPr="007F0171" w:rsidRDefault="007F0171" w:rsidP="001E3307">
      <w:pPr>
        <w:widowControl w:val="0"/>
        <w:autoSpaceDE w:val="0"/>
        <w:autoSpaceDN w:val="0"/>
        <w:adjustRightInd w:val="0"/>
        <w:spacing w:line="240" w:lineRule="atLeast"/>
        <w:ind w:firstLine="360"/>
        <w:rPr>
          <w:b/>
        </w:rPr>
      </w:pPr>
      <w:r w:rsidRPr="007F0171">
        <w:rPr>
          <w:b/>
        </w:rPr>
        <w:t>Town</w:t>
      </w:r>
      <w:r w:rsidR="00225C17">
        <w:rPr>
          <w:b/>
        </w:rPr>
        <w:t xml:space="preserve">/City </w:t>
      </w:r>
      <w:r w:rsidRPr="007F0171">
        <w:rPr>
          <w:b/>
        </w:rPr>
        <w:t xml:space="preserve">of </w:t>
      </w:r>
      <w:r w:rsidR="00225C17">
        <w:rPr>
          <w:b/>
        </w:rPr>
        <w:t>________</w:t>
      </w:r>
      <w:r w:rsidRPr="007F0171">
        <w:rPr>
          <w:b/>
        </w:rPr>
        <w:t xml:space="preserve">, </w:t>
      </w:r>
      <w:r w:rsidR="001A345A" w:rsidRPr="007F0171">
        <w:rPr>
          <w:b/>
        </w:rPr>
        <w:t>Maine</w:t>
      </w:r>
      <w:r w:rsidR="00DE674D" w:rsidRPr="007F0171">
        <w:rPr>
          <w:b/>
        </w:rPr>
        <w:tab/>
      </w:r>
      <w:r w:rsidR="001A345A" w:rsidRPr="007F0171">
        <w:rPr>
          <w:b/>
        </w:rPr>
        <w:t xml:space="preserve">    </w:t>
      </w:r>
      <w:r w:rsidR="001A345A" w:rsidRPr="007F0171">
        <w:rPr>
          <w:b/>
        </w:rPr>
        <w:tab/>
      </w:r>
      <w:r w:rsidR="002245C2" w:rsidRPr="007F0171">
        <w:rPr>
          <w:b/>
        </w:rPr>
        <w:tab/>
      </w:r>
      <w:r w:rsidR="00273276">
        <w:rPr>
          <w:b/>
        </w:rPr>
        <w:t xml:space="preserve">IAFF Local </w:t>
      </w:r>
      <w:r w:rsidR="00225C17">
        <w:rPr>
          <w:b/>
        </w:rPr>
        <w:t>________</w:t>
      </w:r>
      <w:bookmarkStart w:id="0" w:name="_GoBack"/>
      <w:bookmarkEnd w:id="0"/>
    </w:p>
    <w:p w:rsidR="008369D8" w:rsidRPr="007F0171" w:rsidRDefault="008369D8">
      <w:pPr>
        <w:widowControl w:val="0"/>
        <w:autoSpaceDE w:val="0"/>
        <w:autoSpaceDN w:val="0"/>
        <w:adjustRightInd w:val="0"/>
        <w:spacing w:line="249" w:lineRule="atLeast"/>
        <w:jc w:val="both"/>
        <w:rPr>
          <w:b/>
          <w:sz w:val="26"/>
          <w:szCs w:val="26"/>
        </w:rPr>
      </w:pPr>
    </w:p>
    <w:p w:rsidR="008369D8" w:rsidRPr="007F0171" w:rsidRDefault="008369D8" w:rsidP="001E3307">
      <w:pPr>
        <w:widowControl w:val="0"/>
        <w:autoSpaceDE w:val="0"/>
        <w:autoSpaceDN w:val="0"/>
        <w:adjustRightInd w:val="0"/>
        <w:spacing w:line="249" w:lineRule="atLeast"/>
        <w:ind w:firstLine="360"/>
        <w:jc w:val="both"/>
        <w:rPr>
          <w:b/>
          <w:sz w:val="26"/>
          <w:szCs w:val="26"/>
        </w:rPr>
      </w:pPr>
      <w:r w:rsidRPr="007F0171">
        <w:rPr>
          <w:b/>
          <w:sz w:val="26"/>
          <w:szCs w:val="26"/>
        </w:rPr>
        <w:t>______________________</w:t>
      </w:r>
      <w:r w:rsidR="00DE674D" w:rsidRPr="007F0171">
        <w:rPr>
          <w:b/>
          <w:sz w:val="26"/>
          <w:szCs w:val="26"/>
        </w:rPr>
        <w:tab/>
      </w:r>
      <w:r w:rsidR="00DE674D" w:rsidRPr="007F0171">
        <w:rPr>
          <w:b/>
          <w:sz w:val="26"/>
          <w:szCs w:val="26"/>
        </w:rPr>
        <w:tab/>
      </w:r>
      <w:r w:rsidR="001A345A" w:rsidRPr="007F0171">
        <w:rPr>
          <w:b/>
          <w:sz w:val="26"/>
          <w:szCs w:val="26"/>
        </w:rPr>
        <w:tab/>
        <w:t>________________</w:t>
      </w:r>
      <w:r w:rsidR="00A94FE6" w:rsidRPr="007F0171">
        <w:rPr>
          <w:b/>
          <w:sz w:val="26"/>
          <w:szCs w:val="26"/>
        </w:rPr>
        <w:t>________________</w:t>
      </w:r>
    </w:p>
    <w:p w:rsidR="00A94FE6" w:rsidRPr="007F0171" w:rsidRDefault="001A345A" w:rsidP="001E3307">
      <w:pPr>
        <w:widowControl w:val="0"/>
        <w:autoSpaceDE w:val="0"/>
        <w:autoSpaceDN w:val="0"/>
        <w:adjustRightInd w:val="0"/>
        <w:spacing w:line="297" w:lineRule="atLeast"/>
        <w:ind w:firstLine="360"/>
        <w:jc w:val="both"/>
        <w:rPr>
          <w:b/>
        </w:rPr>
      </w:pPr>
      <w:r w:rsidRPr="007F0171">
        <w:rPr>
          <w:b/>
        </w:rPr>
        <w:t xml:space="preserve">Designated </w:t>
      </w:r>
      <w:r w:rsidR="00A94FE6" w:rsidRPr="007F0171">
        <w:rPr>
          <w:b/>
        </w:rPr>
        <w:t>Representative</w:t>
      </w:r>
      <w:r w:rsidRPr="007F0171">
        <w:rPr>
          <w:b/>
        </w:rPr>
        <w:tab/>
      </w:r>
      <w:r w:rsidRPr="007F0171">
        <w:rPr>
          <w:b/>
        </w:rPr>
        <w:tab/>
      </w:r>
      <w:r w:rsidRPr="007F0171">
        <w:rPr>
          <w:b/>
        </w:rPr>
        <w:tab/>
        <w:t xml:space="preserve">Designated </w:t>
      </w:r>
      <w:r w:rsidR="00A94FE6" w:rsidRPr="007F0171">
        <w:rPr>
          <w:b/>
        </w:rPr>
        <w:t>Representative</w:t>
      </w:r>
    </w:p>
    <w:p w:rsidR="001A345A" w:rsidRDefault="001A345A">
      <w:pPr>
        <w:widowControl w:val="0"/>
        <w:autoSpaceDE w:val="0"/>
        <w:autoSpaceDN w:val="0"/>
        <w:adjustRightInd w:val="0"/>
        <w:spacing w:line="297" w:lineRule="atLeast"/>
        <w:jc w:val="both"/>
        <w:rPr>
          <w:b/>
        </w:rPr>
      </w:pPr>
    </w:p>
    <w:p w:rsidR="007F0171" w:rsidRDefault="007F0171">
      <w:pPr>
        <w:widowControl w:val="0"/>
        <w:autoSpaceDE w:val="0"/>
        <w:autoSpaceDN w:val="0"/>
        <w:adjustRightInd w:val="0"/>
        <w:spacing w:line="297" w:lineRule="atLeast"/>
        <w:jc w:val="both"/>
        <w:rPr>
          <w:b/>
        </w:rPr>
      </w:pPr>
    </w:p>
    <w:p w:rsidR="007F0171" w:rsidRPr="007F0171" w:rsidRDefault="007F0171">
      <w:pPr>
        <w:widowControl w:val="0"/>
        <w:autoSpaceDE w:val="0"/>
        <w:autoSpaceDN w:val="0"/>
        <w:adjustRightInd w:val="0"/>
        <w:spacing w:line="297" w:lineRule="atLeast"/>
        <w:jc w:val="both"/>
        <w:rPr>
          <w:b/>
        </w:rPr>
      </w:pPr>
    </w:p>
    <w:p w:rsidR="001A345A" w:rsidRPr="007F0171" w:rsidRDefault="001A345A" w:rsidP="001A345A">
      <w:pPr>
        <w:widowControl w:val="0"/>
        <w:autoSpaceDE w:val="0"/>
        <w:autoSpaceDN w:val="0"/>
        <w:adjustRightInd w:val="0"/>
        <w:spacing w:line="297" w:lineRule="atLeast"/>
        <w:jc w:val="center"/>
        <w:rPr>
          <w:b/>
        </w:rPr>
      </w:pPr>
      <w:r w:rsidRPr="007F0171">
        <w:rPr>
          <w:b/>
        </w:rPr>
        <w:t>______________</w:t>
      </w:r>
    </w:p>
    <w:p w:rsidR="00A94FE6" w:rsidRPr="007F0171" w:rsidRDefault="001A345A" w:rsidP="001A345A">
      <w:pPr>
        <w:widowControl w:val="0"/>
        <w:autoSpaceDE w:val="0"/>
        <w:autoSpaceDN w:val="0"/>
        <w:adjustRightInd w:val="0"/>
        <w:spacing w:line="297" w:lineRule="atLeast"/>
        <w:jc w:val="center"/>
        <w:rPr>
          <w:b/>
        </w:rPr>
      </w:pPr>
      <w:r w:rsidRPr="007F0171">
        <w:rPr>
          <w:b/>
        </w:rPr>
        <w:t>Date</w:t>
      </w:r>
    </w:p>
    <w:sectPr w:rsidR="00A94FE6" w:rsidRPr="007F0171">
      <w:pgSz w:w="12240" w:h="15840"/>
      <w:pgMar w:top="720" w:right="180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5C63"/>
    <w:multiLevelType w:val="hybridMultilevel"/>
    <w:tmpl w:val="19B6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45F94"/>
    <w:multiLevelType w:val="hybridMultilevel"/>
    <w:tmpl w:val="E8B898BA"/>
    <w:lvl w:ilvl="0" w:tplc="5920806A">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 w15:restartNumberingAfterBreak="0">
    <w:nsid w:val="60E86746"/>
    <w:multiLevelType w:val="hybridMultilevel"/>
    <w:tmpl w:val="5692B8F8"/>
    <w:lvl w:ilvl="0" w:tplc="5920806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15:restartNumberingAfterBreak="0">
    <w:nsid w:val="7D0F7B92"/>
    <w:multiLevelType w:val="hybridMultilevel"/>
    <w:tmpl w:val="C67C115E"/>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D8"/>
    <w:rsid w:val="00077604"/>
    <w:rsid w:val="00131B0F"/>
    <w:rsid w:val="001A345A"/>
    <w:rsid w:val="001E3307"/>
    <w:rsid w:val="00224219"/>
    <w:rsid w:val="002245C2"/>
    <w:rsid w:val="00225C17"/>
    <w:rsid w:val="00273276"/>
    <w:rsid w:val="0036339D"/>
    <w:rsid w:val="003758A2"/>
    <w:rsid w:val="004C652B"/>
    <w:rsid w:val="007F0171"/>
    <w:rsid w:val="008369D8"/>
    <w:rsid w:val="00920692"/>
    <w:rsid w:val="00921BF9"/>
    <w:rsid w:val="00987260"/>
    <w:rsid w:val="00A94FE6"/>
    <w:rsid w:val="00D77FD7"/>
    <w:rsid w:val="00DE371A"/>
    <w:rsid w:val="00DE674D"/>
    <w:rsid w:val="00F14889"/>
    <w:rsid w:val="00F4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B7413"/>
  <w15:docId w15:val="{D426C52A-86A1-4351-9272-D3EC1BCB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Crouse, Michael</cp:lastModifiedBy>
  <cp:revision>2</cp:revision>
  <cp:lastPrinted>2019-10-11T14:27:00Z</cp:lastPrinted>
  <dcterms:created xsi:type="dcterms:W3CDTF">2019-10-17T21:25:00Z</dcterms:created>
  <dcterms:modified xsi:type="dcterms:W3CDTF">2019-10-17T21:25:00Z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